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029" w14:textId="638258B5" w:rsidR="009E7D58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516385">
        <w:rPr>
          <w:rFonts w:ascii="Times New Roman" w:hAnsi="Times New Roman" w:cs="Times New Roman"/>
          <w:sz w:val="24"/>
          <w:szCs w:val="24"/>
        </w:rPr>
        <w:tab/>
      </w:r>
      <w:r w:rsidR="00516385">
        <w:rPr>
          <w:rFonts w:ascii="Times New Roman" w:hAnsi="Times New Roman" w:cs="Times New Roman"/>
          <w:sz w:val="24"/>
          <w:szCs w:val="24"/>
        </w:rPr>
        <w:tab/>
      </w:r>
      <w:r w:rsidR="00516385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>Naklo</w:t>
      </w:r>
      <w:r w:rsidR="00025FE2">
        <w:rPr>
          <w:rFonts w:ascii="Times New Roman" w:hAnsi="Times New Roman" w:cs="Times New Roman"/>
          <w:sz w:val="24"/>
          <w:szCs w:val="24"/>
        </w:rPr>
        <w:t>,</w:t>
      </w:r>
      <w:r w:rsidR="00516385">
        <w:rPr>
          <w:rFonts w:ascii="Times New Roman" w:hAnsi="Times New Roman" w:cs="Times New Roman"/>
          <w:sz w:val="24"/>
          <w:szCs w:val="24"/>
        </w:rPr>
        <w:t xml:space="preserve"> </w:t>
      </w:r>
      <w:r w:rsidR="001D578E">
        <w:rPr>
          <w:rFonts w:ascii="Times New Roman" w:hAnsi="Times New Roman" w:cs="Times New Roman"/>
          <w:sz w:val="24"/>
          <w:szCs w:val="24"/>
        </w:rPr>
        <w:t>25. 3. 2026</w:t>
      </w:r>
      <w:r w:rsidR="00025FE2">
        <w:rPr>
          <w:rFonts w:ascii="Times New Roman" w:hAnsi="Times New Roman" w:cs="Times New Roman"/>
          <w:sz w:val="24"/>
          <w:szCs w:val="24"/>
        </w:rPr>
        <w:t xml:space="preserve"> </w:t>
      </w:r>
      <w:r w:rsidR="00B369EE">
        <w:rPr>
          <w:rFonts w:ascii="Times New Roman" w:hAnsi="Times New Roman" w:cs="Times New Roman"/>
          <w:sz w:val="24"/>
          <w:szCs w:val="24"/>
        </w:rPr>
        <w:br/>
      </w:r>
    </w:p>
    <w:p w14:paraId="658379B3" w14:textId="77777777" w:rsidR="0043745D" w:rsidRDefault="0043745D" w:rsidP="00170CFD">
      <w:pPr>
        <w:spacing w:after="0"/>
        <w:ind w:left="-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</w:p>
    <w:p w14:paraId="758FB6FB" w14:textId="677BC2C5" w:rsidR="0063577C" w:rsidRPr="0063577C" w:rsidRDefault="0063577C" w:rsidP="00635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podlagi </w:t>
      </w:r>
      <w:r w:rsidR="00DF625D">
        <w:rPr>
          <w:rFonts w:ascii="Times New Roman" w:eastAsia="Times New Roman" w:hAnsi="Times New Roman" w:cs="Times New Roman"/>
          <w:sz w:val="24"/>
          <w:szCs w:val="24"/>
          <w:lang w:eastAsia="sl-SI"/>
        </w:rPr>
        <w:t>sklepa Sveta zavoda Biotehniškega centra Naklo,</w:t>
      </w:r>
      <w:r w:rsidR="00CD269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ki je bil sprejet na 6. seji Sveta zavoda</w:t>
      </w:r>
      <w:r w:rsidR="00DF625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dne 26. 2. 2026</w:t>
      </w:r>
      <w:r w:rsidR="00CD269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Svet zavoda Biotehniškega centra Naklo, Strahinj 99, 4202 Naklo, </w:t>
      </w:r>
      <w:r w:rsidR="00DF625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razpisuje</w:t>
      </w:r>
      <w:r w:rsidR="00DF625D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prosto delovno mesto</w:t>
      </w:r>
    </w:p>
    <w:p w14:paraId="256BBAF0" w14:textId="242556C8" w:rsidR="0063577C" w:rsidRPr="0063577C" w:rsidRDefault="0063577C" w:rsidP="006357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6357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RAVNATELJA / RAVNATELJICE</w:t>
      </w:r>
      <w:r w:rsidR="00CD26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VIŠJE STROKOVNE ŠOLE – ORGANIZACIJSKE ENOTE.</w:t>
      </w:r>
    </w:p>
    <w:p w14:paraId="68FC2921" w14:textId="77777777" w:rsidR="0063577C" w:rsidRPr="0063577C" w:rsidRDefault="0063577C" w:rsidP="00635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63577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Pogoji za zasedbo delovnega mesta:</w:t>
      </w:r>
    </w:p>
    <w:p w14:paraId="2CC2C536" w14:textId="0D3094B5" w:rsidR="0063577C" w:rsidRPr="0063577C" w:rsidRDefault="0063577C" w:rsidP="00177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Kandidat mora izpolnjevati pogoje, določene z</w:t>
      </w:r>
      <w:r w:rsidR="001775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Zakonom o organizaciji in financiranju vzgoje in izobraževanja - ZOFVI </w:t>
      </w:r>
      <w:r w:rsidR="001775ED" w:rsidRPr="001775ED">
        <w:rPr>
          <w:rFonts w:ascii="Times New Roman" w:eastAsia="Times New Roman" w:hAnsi="Times New Roman" w:cs="Times New Roman"/>
          <w:sz w:val="24"/>
          <w:szCs w:val="24"/>
          <w:lang w:eastAsia="sl-SI"/>
        </w:rPr>
        <w:t>(</w:t>
      </w:r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Uradni list RS, št. </w:t>
      </w:r>
      <w:hyperlink r:id="rId8" w:tgtFrame="_blank" w:tooltip="Zakon o organizaciji in financiranju vzgoje in izobraževanja (uradno prečiščeno besedilo) (ZOFVI-UPB5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16/07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uradno prečiščeno besedilo, </w:t>
      </w:r>
      <w:hyperlink r:id="rId9" w:tgtFrame="_blank" w:tooltip="Zakon o spremembah in dopolnitvah Zakona o organizaciji in financiranju vzgoje in izobraževanja (ZOFVI-G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36/08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10" w:tgtFrame="_blank" w:tooltip="Zakon o spremembah in dopolnitvah Zakona o organizaciji in financiranju vzgoje in izobraževanja (ZOFVI-H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58/09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11" w:tgtFrame="_blank" w:tooltip="Popravek Zakona o spremembah in dopolnitvah Zakona o organizaciji in financiranju vzgoje in izobraževanja (ZOFVI-H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64/09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popr., </w:t>
      </w:r>
      <w:hyperlink r:id="rId12" w:tgtFrame="_blank" w:tooltip="Popravek Zakona o spremembah in dopolnitvah Zakona o organizaciji in financiranju vzgoje in izobraževanja (ZOFVI-H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65/09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popr., </w:t>
      </w:r>
      <w:hyperlink r:id="rId13" w:tgtFrame="_blank" w:tooltip="Zakon o spremembah in dopolnitvah Zakona o organizaciji in financiranju vzgoje in izobraževanja (ZOFVI-I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20/11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14" w:tgtFrame="_blank" w:tooltip="Zakon za uravnoteženje javnih financ (ZUJF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40/12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ZUJF, </w:t>
      </w:r>
      <w:hyperlink r:id="rId15" w:tgtFrame="_blank" w:tooltip="Zakon o spremembah in dopolnitvah Zakona o prevozih v cestnem prometu (ZPCP-2D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57/12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ZPCP-2D, </w:t>
      </w:r>
      <w:hyperlink r:id="rId16" w:tgtFrame="_blank" w:tooltip="Zakon o spremembi Zakona o spremembah in dopolnitvah Zakona o organizaciji in financiranju vzgoje in izobraževanja (ZOFVI-J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47/15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17" w:tgtFrame="_blank" w:tooltip="Zakon o spremembah in dopolnitvah Zakona o organizaciji in financiranju vzgoje in izobraževanja (ZOFVI-K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46/16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18" w:tgtFrame="_blank" w:tooltip="Popravek Zakona o spremembah in dopolnitvah Zakona o organizaciji in financiranju vzgoje in izobraževanja (ZOFVI-L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49/16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popr., </w:t>
      </w:r>
      <w:hyperlink r:id="rId19" w:tgtFrame="_blank" w:tooltip="Zakon o vajeništvu (ZVaj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25/17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 xml:space="preserve"> – </w:t>
      </w:r>
      <w:proofErr w:type="spellStart"/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ZVaj</w:t>
      </w:r>
      <w:proofErr w:type="spellEnd"/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0" w:tgtFrame="_blank" w:tooltip="Zakon o spremembi Zakona o organizaciji in financiranju vzgoje in izobraževanja (ZOFVI-L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123/21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1" w:tgtFrame="_blank" w:tooltip="Zakon o spremembi in dopolnitvi Zakona o organizaciji in financiranju vzgoje in izobraževanja (ZOFVI-M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172/21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2" w:tgtFrame="_blank" w:tooltip="Zakon o spremembah in dopolnitvah Zakona o organizaciji in financiranju vzgoje in izobraževanja (ZOFVI-N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207/21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3" w:tgtFrame="_blank" w:tooltip="Zakon za zmanjšanje neenakosti in škodljivih posegov politike ter zagotavljanje spoštovanja pravne države (ZZNŠPP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105/22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ZZNŠPP, </w:t>
      </w:r>
      <w:hyperlink r:id="rId24" w:tgtFrame="_blank" w:tooltip="Zakon o spremembah Zakona o organizaciji in financiranju vzgoje in izobraževanja (ZOFVI-O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141/22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5" w:tgtFrame="_blank" w:tooltip="Zakon o spremembah in dopolnitvah Zakona o dohodnini (ZDoh-2AA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158/22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ZDoh-2AA, </w:t>
      </w:r>
      <w:hyperlink r:id="rId26" w:tgtFrame="_blank" w:tooltip="Zakon o spremembah in dopolnitvah Zakona o organizaciji in financiranju vzgoje in izobraževanja (ZOFVI-P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71/23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, </w:t>
      </w:r>
      <w:hyperlink r:id="rId27" w:tgtFrame="_blank" w:tooltip="Zakon o začasni zaščiti razseljenih oseb (ZZZRO-1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22/25</w:t>
        </w:r>
      </w:hyperlink>
      <w:r w:rsidR="001775ED" w:rsidRPr="001775ED">
        <w:rPr>
          <w:rFonts w:ascii="Republika" w:hAnsi="Republika"/>
          <w:sz w:val="23"/>
          <w:szCs w:val="23"/>
          <w:shd w:val="clear" w:color="auto" w:fill="FFFFFF"/>
        </w:rPr>
        <w:t> – ZZZRO-1 in </w:t>
      </w:r>
      <w:hyperlink r:id="rId28" w:tgtFrame="_blank" w:tooltip="Zakon o spremembah in dopolnitvah Zakona o organizaciji in financiranju vzgoje in izobraževanja (ZOFVI-R)" w:history="1">
        <w:r w:rsidR="001775ED" w:rsidRPr="001775ED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48/25</w:t>
        </w:r>
      </w:hyperlink>
      <w:r w:rsidR="001775ED">
        <w:t>)</w:t>
      </w:r>
      <w:r w:rsidR="001775ED" w:rsidRPr="001775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sicer:</w:t>
      </w:r>
    </w:p>
    <w:p w14:paraId="47146383" w14:textId="2DBA8419" w:rsidR="0063577C" w:rsidRDefault="0063577C" w:rsidP="0017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ima </w:t>
      </w:r>
      <w:r w:rsidR="00DF625D">
        <w:rPr>
          <w:rFonts w:ascii="Times New Roman" w:eastAsia="Times New Roman" w:hAnsi="Times New Roman" w:cs="Times New Roman"/>
          <w:sz w:val="24"/>
          <w:szCs w:val="24"/>
          <w:lang w:eastAsia="sl-SI"/>
        </w:rPr>
        <w:t>ustrezno izobrazbo, pridobljeno z univerzitetnim študijskim programom (raven izobrazbe pridobljena po študijskem programu, po katerem se pridobi izobrazba, ki v skladu z zakonom ustreza izobrazbi druge stopnje) ali z magistrskim študijskim programom druge stopnje (izobrazba, pridobljeno po študijskem programu za pridobitev izobrazbe druge stopnje),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izobrazbo, pridobljeno po študijskem programu druge stopnje oziroma raven izobrazbe, ki v skladu z zakonom ustreza tej izobrazbi,</w:t>
      </w:r>
    </w:p>
    <w:p w14:paraId="7FFED4E9" w14:textId="28C44C03" w:rsidR="00DF625D" w:rsidRDefault="00DF625D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ima veljaven naziv predavatelj višje šole,</w:t>
      </w:r>
    </w:p>
    <w:p w14:paraId="0092F3C1" w14:textId="1C2B8FDC" w:rsidR="002860F8" w:rsidRPr="0063577C" w:rsidRDefault="002860F8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ima opravljen  ravnateljski izpit (</w:t>
      </w:r>
      <w:r w:rsidRPr="00DF625D">
        <w:rPr>
          <w:rFonts w:ascii="Times New Roman" w:hAnsi="Times New Roman" w:cs="Times New Roman"/>
        </w:rPr>
        <w:t>oziroma si ga pridobi najpozneje v letu dni po začetku mandata, sicer preneha mandat po zakonu</w:t>
      </w:r>
      <w:r>
        <w:rPr>
          <w:rFonts w:ascii="Times New Roman" w:hAnsi="Times New Roman" w:cs="Times New Roman"/>
        </w:rPr>
        <w:t>),</w:t>
      </w:r>
    </w:p>
    <w:p w14:paraId="7FF186E4" w14:textId="77777777" w:rsidR="0063577C" w:rsidRPr="0063577C" w:rsidRDefault="0063577C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ima najmanj pet (5) let delovnih izkušenj v vzgoji in izobraževanju,</w:t>
      </w:r>
    </w:p>
    <w:p w14:paraId="6FD0CC24" w14:textId="77777777" w:rsidR="0063577C" w:rsidRPr="0063577C" w:rsidRDefault="0063577C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ima opravljen strokovni izpit v vzgoji in izobraževanju,</w:t>
      </w:r>
    </w:p>
    <w:p w14:paraId="38346FE6" w14:textId="23490DA8" w:rsidR="0063577C" w:rsidRPr="0063577C" w:rsidRDefault="0063577C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ima naziv mentor</w:t>
      </w:r>
      <w:r w:rsidR="002860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najmanj pet let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, svetovalec ali svetnik oziroma ga pridobi v zakonskem roku,</w:t>
      </w:r>
    </w:p>
    <w:p w14:paraId="4EB596E8" w14:textId="1F86D0A2" w:rsidR="0063577C" w:rsidRPr="0063577C" w:rsidRDefault="0063577C" w:rsidP="00387F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ni bil pravnomočno obsojen zaradi naklepnega kaznivega dejanja</w:t>
      </w:r>
      <w:r w:rsidR="001C34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spolno nedotakljivost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5C69D6E3" w14:textId="516ACE88" w:rsidR="00387F35" w:rsidRDefault="00387F35" w:rsidP="00387F3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Kandidat mora imeti pedagoške, vodstvene, organizacijske in druge sposobnosti za uspešno vodenje zavoda.</w:t>
      </w:r>
    </w:p>
    <w:p w14:paraId="5DFEEE01" w14:textId="56BAF461" w:rsidR="00387F35" w:rsidRPr="0063577C" w:rsidRDefault="00387F35" w:rsidP="00387F3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Začetek dela je 1. 10. 2026</w:t>
      </w:r>
    </w:p>
    <w:p w14:paraId="53A9BCDB" w14:textId="77777777" w:rsidR="0063577C" w:rsidRPr="0063577C" w:rsidRDefault="0063577C" w:rsidP="00635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63577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Mandat:</w:t>
      </w:r>
    </w:p>
    <w:p w14:paraId="31BEF513" w14:textId="6AF7F8B2" w:rsidR="0063577C" w:rsidRPr="0063577C" w:rsidRDefault="0063577C" w:rsidP="00635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Izbrani kandidat bo imenovan za mandatno dobo petih (5) let</w:t>
      </w:r>
      <w:r w:rsidR="00387F3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5CCB9BD" w14:textId="77777777" w:rsidR="0063577C" w:rsidRPr="0063577C" w:rsidRDefault="0063577C" w:rsidP="00635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63577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Delovno razmerje:</w:t>
      </w:r>
    </w:p>
    <w:p w14:paraId="19010DA7" w14:textId="4BAC415B" w:rsidR="00387F35" w:rsidRPr="00387F35" w:rsidRDefault="00387F35" w:rsidP="00387F35">
      <w:pPr>
        <w:rPr>
          <w:rFonts w:ascii="Times New Roman" w:hAnsi="Times New Roman" w:cs="Times New Roman"/>
          <w:sz w:val="24"/>
          <w:szCs w:val="24"/>
        </w:rPr>
      </w:pPr>
      <w:r w:rsidRPr="00387F35">
        <w:rPr>
          <w:rFonts w:ascii="Times New Roman" w:hAnsi="Times New Roman" w:cs="Times New Roman"/>
          <w:sz w:val="24"/>
          <w:szCs w:val="24"/>
        </w:rPr>
        <w:t>Izbrani kandidat bo sklenil pogodbo o zaposlitvi za določen čas, za čas trajanja mandata in s polnim delovnim časom.</w:t>
      </w:r>
    </w:p>
    <w:p w14:paraId="2DA99A49" w14:textId="1B62F5AB" w:rsidR="00387F35" w:rsidRPr="00DF625D" w:rsidRDefault="00387F35" w:rsidP="00635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DF625D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Zahtevana dokazila o izpolnjevanju pogojev:</w:t>
      </w:r>
    </w:p>
    <w:p w14:paraId="04E96CC1" w14:textId="15E9FFFB" w:rsidR="00387F35" w:rsidRPr="00DF625D" w:rsidRDefault="00387F35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</w:rPr>
        <w:t>Dokazilo o izobrazbi (overjeno).</w:t>
      </w:r>
    </w:p>
    <w:p w14:paraId="2D1DF6FD" w14:textId="6765AC7D" w:rsidR="00387F35" w:rsidRDefault="00387F35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</w:rPr>
        <w:t>Dokazilo o nazivu – višji svetnik, svetnik ali svetovalec oziroma najmanj pet let naziv mentor (overjeno).</w:t>
      </w:r>
    </w:p>
    <w:p w14:paraId="31F6EB54" w14:textId="34ED1267" w:rsidR="00E02B22" w:rsidRPr="00DF625D" w:rsidRDefault="00E02B22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>
        <w:rPr>
          <w:rFonts w:ascii="Times New Roman" w:hAnsi="Times New Roman" w:cs="Times New Roman"/>
        </w:rPr>
        <w:t>Dokazilo o veljavnem nazivu predavatelj višje šole</w:t>
      </w:r>
      <w:r w:rsidR="00752249">
        <w:rPr>
          <w:rFonts w:ascii="Times New Roman" w:hAnsi="Times New Roman" w:cs="Times New Roman"/>
        </w:rPr>
        <w:t xml:space="preserve"> </w:t>
      </w:r>
      <w:r w:rsidR="00752249" w:rsidRPr="00752249">
        <w:rPr>
          <w:rFonts w:ascii="Times New Roman" w:hAnsi="Times New Roman" w:cs="Times New Roman"/>
        </w:rPr>
        <w:t>(overjeno)</w:t>
      </w:r>
      <w:r w:rsidR="007522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3D5A3DED" w14:textId="62707C5A" w:rsidR="00387F35" w:rsidRPr="00DF625D" w:rsidRDefault="00387F35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</w:rPr>
        <w:t>Dokazilo o opravljenem strokovnem izpitu (overjeno).</w:t>
      </w:r>
    </w:p>
    <w:p w14:paraId="39F7498A" w14:textId="2334892C" w:rsidR="00387F35" w:rsidRPr="00DF625D" w:rsidRDefault="00387F35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</w:rPr>
        <w:t xml:space="preserve">Dokazilo o opravljenem ravnateljskem izpitu (oziroma si ga pridobi </w:t>
      </w:r>
      <w:r w:rsidR="008B63EE" w:rsidRPr="00DF625D">
        <w:rPr>
          <w:rFonts w:ascii="Times New Roman" w:hAnsi="Times New Roman" w:cs="Times New Roman"/>
        </w:rPr>
        <w:t>najpozneje v letu dni po začetku mandata, sicer preneha mandat po zakonu), (overjeno).</w:t>
      </w:r>
    </w:p>
    <w:p w14:paraId="1FD77D47" w14:textId="0C9ED2B4" w:rsidR="008B63EE" w:rsidRPr="00DF625D" w:rsidRDefault="008B63EE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</w:rPr>
        <w:t>Dokazilo o delovnih izkušnjah v VIZ (najmanj pet let v vzgoji in izobraževanju).</w:t>
      </w:r>
    </w:p>
    <w:p w14:paraId="3332DBF4" w14:textId="21FDB8CF" w:rsidR="008B63EE" w:rsidRPr="00DF625D" w:rsidRDefault="008B63EE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  <w:lang w:eastAsia="sl-SI"/>
        </w:rPr>
        <w:t>Potrdilo o nekaznovanosti (ki ob oddaji ne sme biti starejše od 30 dni, Potrdilo izda Ministrstvo za pravosodje).</w:t>
      </w:r>
    </w:p>
    <w:p w14:paraId="442EC2F0" w14:textId="02EE7D78" w:rsidR="008B63EE" w:rsidRPr="00DF625D" w:rsidRDefault="008B63EE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  <w:lang w:eastAsia="sl-SI"/>
        </w:rPr>
        <w:t>Potrdilo iz evidence izbrisanih obsodb za kazniva dejanja zoper spolno nedotakljivost (84. člen KZ-1: namen: Varstvo otrok in mladostnikov, ki ob oddaji ne sme biti starejše od 30 dni, potrdilo izda Ministrstvo za pravosodje).</w:t>
      </w:r>
    </w:p>
    <w:p w14:paraId="2816C0ED" w14:textId="738A0A77" w:rsidR="008B63EE" w:rsidRPr="00DF625D" w:rsidRDefault="008B63EE" w:rsidP="003D64B8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  <w:lang w:eastAsia="sl-SI"/>
        </w:rPr>
        <w:t>Potrdilo sodišča, da kandidat ni v kazenskem postopku oziroma zoper njega ni vložena pravnomočna obtožnica (ki ob oddaji ne sme biti starejše od 30 dni, potrdilo izda okrajno ali okrožno sodišče).</w:t>
      </w:r>
    </w:p>
    <w:p w14:paraId="1EA75B2D" w14:textId="564146CF" w:rsidR="008B63EE" w:rsidRPr="00DF625D" w:rsidRDefault="008B63EE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  <w:lang w:eastAsia="sl-SI"/>
        </w:rPr>
        <w:t>Program vodenja višje strokovne šole za mandatno obdobje.</w:t>
      </w:r>
    </w:p>
    <w:p w14:paraId="20F50B15" w14:textId="5AB46051" w:rsidR="008B63EE" w:rsidRPr="00DF625D" w:rsidRDefault="001C344A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proofErr w:type="spellStart"/>
      <w:r>
        <w:rPr>
          <w:rFonts w:ascii="Times New Roman" w:hAnsi="Times New Roman" w:cs="Times New Roman"/>
          <w:lang w:eastAsia="sl-SI"/>
        </w:rPr>
        <w:t>Europass</w:t>
      </w:r>
      <w:proofErr w:type="spellEnd"/>
      <w:r>
        <w:rPr>
          <w:rFonts w:ascii="Times New Roman" w:hAnsi="Times New Roman" w:cs="Times New Roman"/>
          <w:lang w:eastAsia="sl-SI"/>
        </w:rPr>
        <w:t xml:space="preserve"> življenjepis.</w:t>
      </w:r>
    </w:p>
    <w:p w14:paraId="69871938" w14:textId="084B93E6" w:rsidR="008B63EE" w:rsidRPr="00DF625D" w:rsidRDefault="008B63EE" w:rsidP="00387F3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lang w:eastAsia="sl-SI"/>
        </w:rPr>
      </w:pPr>
      <w:r w:rsidRPr="00DF625D">
        <w:rPr>
          <w:rFonts w:ascii="Times New Roman" w:hAnsi="Times New Roman" w:cs="Times New Roman"/>
          <w:lang w:eastAsia="sl-SI"/>
        </w:rPr>
        <w:t>Izjavo s katero dovoljuje obdelavo in uporabo osebnih podatkov v namen izvedbe postopka imenovanja ravnatelja.</w:t>
      </w:r>
    </w:p>
    <w:p w14:paraId="5918A8D6" w14:textId="77777777" w:rsidR="0063577C" w:rsidRPr="0063577C" w:rsidRDefault="0063577C" w:rsidP="00635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63577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Rok in način prijave:</w:t>
      </w:r>
    </w:p>
    <w:p w14:paraId="2211F60E" w14:textId="53C1EBF2" w:rsidR="0063577C" w:rsidRPr="0063577C" w:rsidRDefault="0063577C" w:rsidP="001C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Kandidati naj pošljejo prijave v zaprti ovojnici z oznako</w:t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357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»Ne odpiraj – </w:t>
      </w:r>
      <w:r w:rsidR="001C344A" w:rsidRPr="001C344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Prijava na </w:t>
      </w:r>
      <w:r w:rsidRPr="006357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razpis za ravnatelja</w:t>
      </w:r>
      <w:r w:rsidR="008B63EE" w:rsidRPr="001C344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1C344A" w:rsidRPr="001C344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VSŠ</w:t>
      </w:r>
      <w:r w:rsidRPr="006357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="008B63EE" w:rsidRPr="001C344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6357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</w: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na naslov: Biotehniški center Naklo, Strahinj 99, 4202 Naklo.</w:t>
      </w:r>
    </w:p>
    <w:p w14:paraId="26194889" w14:textId="0D72DE3C" w:rsidR="0063577C" w:rsidRDefault="0063577C" w:rsidP="00635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Rok za prijavo je 15 dni od objave razpisa.</w:t>
      </w:r>
      <w:r w:rsidR="001C34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Prijava se šteje za pravočasno, če je vložena zadnji dan roka priporočeno po pošti.</w:t>
      </w:r>
    </w:p>
    <w:p w14:paraId="4AE51BE1" w14:textId="30251BEE" w:rsidR="00DF625D" w:rsidRDefault="00DF625D" w:rsidP="003D64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izbirni postopek se bodo uvrstile samo pravočasno prispele in popolne prijave kandidatov, ki bodo izpolnjevali razpisne pogoje.</w:t>
      </w:r>
    </w:p>
    <w:p w14:paraId="38FE177F" w14:textId="447F617A" w:rsidR="00CD269C" w:rsidRPr="0063577C" w:rsidRDefault="001775ED" w:rsidP="003D64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Kandidati naj v prijavi sporočijo elektronski naslov za namen obveščanja v zvezi z razpisnim postopkom. </w:t>
      </w:r>
      <w:r w:rsidR="00CD269C" w:rsidRPr="0063577C">
        <w:rPr>
          <w:rFonts w:ascii="Times New Roman" w:eastAsia="Times New Roman" w:hAnsi="Times New Roman" w:cs="Times New Roman"/>
          <w:sz w:val="24"/>
          <w:szCs w:val="24"/>
          <w:lang w:eastAsia="sl-SI"/>
        </w:rPr>
        <w:t>Kandidati bodo o izbiri pisno obveščeni v zakonitem roku.</w:t>
      </w:r>
    </w:p>
    <w:p w14:paraId="2E2C495D" w14:textId="6DDA343C" w:rsidR="001C344A" w:rsidRPr="0063577C" w:rsidRDefault="001C344A" w:rsidP="00635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besedilu javnega razpisa uporabljeni izrazi, zapisani v moški slovnični obliki so uporabljeni kot nevtralni za moške in ženske.</w:t>
      </w:r>
    </w:p>
    <w:p w14:paraId="73EB6A29" w14:textId="77777777" w:rsidR="00FC66F3" w:rsidRDefault="00FC66F3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14:paraId="30B4EF28" w14:textId="4A7CA5B6" w:rsidR="007C147D" w:rsidRDefault="007C147D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4CC1" w14:textId="77777777" w:rsidR="003771CC" w:rsidRDefault="003771CC" w:rsidP="00363D35">
      <w:pPr>
        <w:spacing w:after="0" w:line="240" w:lineRule="auto"/>
      </w:pPr>
      <w:r>
        <w:separator/>
      </w:r>
    </w:p>
  </w:endnote>
  <w:endnote w:type="continuationSeparator" w:id="0">
    <w:p w14:paraId="58ABCAE1" w14:textId="77777777" w:rsidR="003771CC" w:rsidRDefault="003771CC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1CC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3771CC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1CC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3771CC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C792" w14:textId="77777777" w:rsidR="003771CC" w:rsidRDefault="003771CC" w:rsidP="00363D35">
      <w:pPr>
        <w:spacing w:after="0" w:line="240" w:lineRule="auto"/>
      </w:pPr>
      <w:r>
        <w:separator/>
      </w:r>
    </w:p>
  </w:footnote>
  <w:footnote w:type="continuationSeparator" w:id="0">
    <w:p w14:paraId="667512E8" w14:textId="77777777" w:rsidR="003771CC" w:rsidRDefault="003771CC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3771CC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3771CC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3771CC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067"/>
    <w:multiLevelType w:val="multilevel"/>
    <w:tmpl w:val="5F7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45CF5"/>
    <w:multiLevelType w:val="multilevel"/>
    <w:tmpl w:val="DAD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C33F7"/>
    <w:multiLevelType w:val="multilevel"/>
    <w:tmpl w:val="97E8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2E33"/>
    <w:multiLevelType w:val="multilevel"/>
    <w:tmpl w:val="0E80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B6597"/>
    <w:multiLevelType w:val="hybridMultilevel"/>
    <w:tmpl w:val="428207EC"/>
    <w:lvl w:ilvl="0" w:tplc="9B78F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65860"/>
    <w:multiLevelType w:val="hybridMultilevel"/>
    <w:tmpl w:val="D3AC07C4"/>
    <w:lvl w:ilvl="0" w:tplc="9B78F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34503">
    <w:abstractNumId w:val="1"/>
  </w:num>
  <w:num w:numId="2" w16cid:durableId="300892298">
    <w:abstractNumId w:val="2"/>
  </w:num>
  <w:num w:numId="3" w16cid:durableId="1208566644">
    <w:abstractNumId w:val="0"/>
  </w:num>
  <w:num w:numId="4" w16cid:durableId="506363037">
    <w:abstractNumId w:val="3"/>
  </w:num>
  <w:num w:numId="5" w16cid:durableId="230964179">
    <w:abstractNumId w:val="5"/>
  </w:num>
  <w:num w:numId="6" w16cid:durableId="492528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0E4E03"/>
    <w:rsid w:val="00132A4B"/>
    <w:rsid w:val="00170CFD"/>
    <w:rsid w:val="00173AD6"/>
    <w:rsid w:val="001775ED"/>
    <w:rsid w:val="0019585F"/>
    <w:rsid w:val="001C344A"/>
    <w:rsid w:val="001D578E"/>
    <w:rsid w:val="001F479A"/>
    <w:rsid w:val="001F773A"/>
    <w:rsid w:val="0022226A"/>
    <w:rsid w:val="00245EC2"/>
    <w:rsid w:val="002860F8"/>
    <w:rsid w:val="002B4275"/>
    <w:rsid w:val="002B643B"/>
    <w:rsid w:val="002C24D1"/>
    <w:rsid w:val="00305E4C"/>
    <w:rsid w:val="00315AC9"/>
    <w:rsid w:val="0035345C"/>
    <w:rsid w:val="00363D35"/>
    <w:rsid w:val="00364237"/>
    <w:rsid w:val="003771CC"/>
    <w:rsid w:val="0037752D"/>
    <w:rsid w:val="00387F35"/>
    <w:rsid w:val="003C1228"/>
    <w:rsid w:val="003D64B8"/>
    <w:rsid w:val="0042565B"/>
    <w:rsid w:val="004262AE"/>
    <w:rsid w:val="0043664E"/>
    <w:rsid w:val="0043745D"/>
    <w:rsid w:val="00445E9A"/>
    <w:rsid w:val="00467757"/>
    <w:rsid w:val="004A55BE"/>
    <w:rsid w:val="004C501D"/>
    <w:rsid w:val="004E02CD"/>
    <w:rsid w:val="00516385"/>
    <w:rsid w:val="0055470A"/>
    <w:rsid w:val="00566365"/>
    <w:rsid w:val="005A3F5E"/>
    <w:rsid w:val="005C6C6B"/>
    <w:rsid w:val="005D041B"/>
    <w:rsid w:val="005E16A1"/>
    <w:rsid w:val="005F365D"/>
    <w:rsid w:val="00614166"/>
    <w:rsid w:val="0063577C"/>
    <w:rsid w:val="006802F6"/>
    <w:rsid w:val="006C1060"/>
    <w:rsid w:val="006E7BED"/>
    <w:rsid w:val="00721851"/>
    <w:rsid w:val="00726219"/>
    <w:rsid w:val="00737474"/>
    <w:rsid w:val="00752249"/>
    <w:rsid w:val="00780AA3"/>
    <w:rsid w:val="007A6A70"/>
    <w:rsid w:val="007C147D"/>
    <w:rsid w:val="00807753"/>
    <w:rsid w:val="00810F8A"/>
    <w:rsid w:val="008117CD"/>
    <w:rsid w:val="008B63EE"/>
    <w:rsid w:val="009115CD"/>
    <w:rsid w:val="00946628"/>
    <w:rsid w:val="00950D08"/>
    <w:rsid w:val="00962F5B"/>
    <w:rsid w:val="00975504"/>
    <w:rsid w:val="009A0D7C"/>
    <w:rsid w:val="009C257A"/>
    <w:rsid w:val="009C7299"/>
    <w:rsid w:val="009E11C3"/>
    <w:rsid w:val="009E7D58"/>
    <w:rsid w:val="00A0757E"/>
    <w:rsid w:val="00A07723"/>
    <w:rsid w:val="00A65BDB"/>
    <w:rsid w:val="00AD478E"/>
    <w:rsid w:val="00B369EE"/>
    <w:rsid w:val="00B51BDC"/>
    <w:rsid w:val="00B5413A"/>
    <w:rsid w:val="00B862E7"/>
    <w:rsid w:val="00BA696A"/>
    <w:rsid w:val="00BB4ABD"/>
    <w:rsid w:val="00BC6F51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D269C"/>
    <w:rsid w:val="00CF0070"/>
    <w:rsid w:val="00D073FA"/>
    <w:rsid w:val="00D1072C"/>
    <w:rsid w:val="00D64F11"/>
    <w:rsid w:val="00DE0BC2"/>
    <w:rsid w:val="00DE3F87"/>
    <w:rsid w:val="00DE57E2"/>
    <w:rsid w:val="00DF625D"/>
    <w:rsid w:val="00E02B22"/>
    <w:rsid w:val="00E3738A"/>
    <w:rsid w:val="00E563A2"/>
    <w:rsid w:val="00F15847"/>
    <w:rsid w:val="00F25887"/>
    <w:rsid w:val="00F37B44"/>
    <w:rsid w:val="00FC0F1A"/>
    <w:rsid w:val="00FC66F3"/>
    <w:rsid w:val="00FD3CE0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719C1DD2-BA0D-450F-A7D7-870BBF9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77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1-01-0821" TargetMode="External"/><Relationship Id="rId18" Type="http://schemas.openxmlformats.org/officeDocument/2006/relationships/hyperlink" Target="https://www.uradni-list.si/glasilo-uradni-list-rs/vsebina/2016-21-2169" TargetMode="External"/><Relationship Id="rId26" Type="http://schemas.openxmlformats.org/officeDocument/2006/relationships/hyperlink" Target="https://www.uradni-list.si/glasilo-uradni-list-rs/vsebina/2023-01-22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1-01-3352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09-21-3051" TargetMode="External"/><Relationship Id="rId17" Type="http://schemas.openxmlformats.org/officeDocument/2006/relationships/hyperlink" Target="https://www.uradni-list.si/glasilo-uradni-list-rs/vsebina/2016-01-1999" TargetMode="External"/><Relationship Id="rId25" Type="http://schemas.openxmlformats.org/officeDocument/2006/relationships/hyperlink" Target="https://www.uradni-list.si/glasilo-uradni-list-rs/vsebina/2022-01-4017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1934" TargetMode="External"/><Relationship Id="rId20" Type="http://schemas.openxmlformats.org/officeDocument/2006/relationships/hyperlink" Target="https://www.uradni-list.si/glasilo-uradni-list-rs/vsebina/2021-01-262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09-21-3033" TargetMode="External"/><Relationship Id="rId24" Type="http://schemas.openxmlformats.org/officeDocument/2006/relationships/hyperlink" Target="https://www.uradni-list.si/glasilo-uradni-list-rs/vsebina/2022-01-3469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2-01-2410" TargetMode="External"/><Relationship Id="rId23" Type="http://schemas.openxmlformats.org/officeDocument/2006/relationships/hyperlink" Target="https://www.uradni-list.si/glasilo-uradni-list-rs/vsebina/2022-01-2603" TargetMode="External"/><Relationship Id="rId28" Type="http://schemas.openxmlformats.org/officeDocument/2006/relationships/hyperlink" Target="https://www.uradni-list.si/glasilo-uradni-list-rs/vsebina/2025-01-20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09-01-2871" TargetMode="External"/><Relationship Id="rId19" Type="http://schemas.openxmlformats.org/officeDocument/2006/relationships/hyperlink" Target="https://www.uradni-list.si/glasilo-uradni-list-rs/vsebina/2017-01-1324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8-01-1460" TargetMode="External"/><Relationship Id="rId14" Type="http://schemas.openxmlformats.org/officeDocument/2006/relationships/hyperlink" Target="https://www.uradni-list.si/glasilo-uradni-list-rs/vsebina/2012-01-1700" TargetMode="External"/><Relationship Id="rId22" Type="http://schemas.openxmlformats.org/officeDocument/2006/relationships/hyperlink" Target="https://www.uradni-list.si/glasilo-uradni-list-rs/vsebina/2021-01-4285" TargetMode="External"/><Relationship Id="rId27" Type="http://schemas.openxmlformats.org/officeDocument/2006/relationships/hyperlink" Target="https://www.uradni-list.si/glasilo-uradni-list-rs/vsebina/2025-01-0760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www.uradni-list.si/glasilo-uradni-list-rs/vsebina/2007-01-0718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1210</Words>
  <Characters>7021</Characters>
  <Application>Microsoft Office Word</Application>
  <DocSecurity>0</DocSecurity>
  <Lines>149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Tatjana Geč</cp:lastModifiedBy>
  <cp:revision>3</cp:revision>
  <cp:lastPrinted>2026-03-23T10:09:00Z</cp:lastPrinted>
  <dcterms:created xsi:type="dcterms:W3CDTF">2026-03-23T10:01:00Z</dcterms:created>
  <dcterms:modified xsi:type="dcterms:W3CDTF">2026-03-23T10:27:00Z</dcterms:modified>
</cp:coreProperties>
</file>